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1FC2" w:rsidRPr="00D862B1" w:rsidRDefault="00061FC2" w:rsidP="00061FC2">
      <w:pPr>
        <w:pStyle w:val="Default"/>
        <w:jc w:val="center"/>
        <w:rPr>
          <w:rFonts w:cstheme="minorBidi"/>
          <w:b/>
          <w:i/>
          <w:color w:val="auto"/>
          <w:sz w:val="40"/>
        </w:rPr>
      </w:pPr>
      <w:r w:rsidRPr="00D862B1">
        <w:rPr>
          <w:rFonts w:cstheme="minorBidi"/>
          <w:b/>
          <w:i/>
          <w:color w:val="auto"/>
          <w:sz w:val="40"/>
        </w:rPr>
        <w:t>HEALTH AND SAFETY POLICY</w:t>
      </w:r>
    </w:p>
    <w:p w:rsidR="00061FC2" w:rsidRPr="00D862B1" w:rsidRDefault="00061FC2" w:rsidP="00061FC2">
      <w:pPr>
        <w:pStyle w:val="Default"/>
        <w:jc w:val="center"/>
        <w:rPr>
          <w:rFonts w:cstheme="minorBidi"/>
          <w:b/>
          <w:i/>
          <w:color w:val="auto"/>
          <w:sz w:val="40"/>
        </w:rPr>
      </w:pPr>
    </w:p>
    <w:p w:rsidR="00061FC2" w:rsidRPr="00D862B1" w:rsidRDefault="00061FC2" w:rsidP="00061FC2">
      <w:pPr>
        <w:pStyle w:val="Default"/>
        <w:rPr>
          <w:rFonts w:cstheme="minorBidi"/>
          <w:i/>
          <w:color w:val="auto"/>
        </w:rPr>
      </w:pPr>
      <w:r w:rsidRPr="00D862B1">
        <w:rPr>
          <w:rFonts w:cstheme="minorBidi"/>
          <w:i/>
          <w:color w:val="auto"/>
        </w:rPr>
        <w:t xml:space="preserve">Anthony </w:t>
      </w:r>
      <w:proofErr w:type="spellStart"/>
      <w:r w:rsidRPr="00D862B1">
        <w:rPr>
          <w:rFonts w:cstheme="minorBidi"/>
          <w:i/>
          <w:color w:val="auto"/>
        </w:rPr>
        <w:t>Matley</w:t>
      </w:r>
      <w:proofErr w:type="spellEnd"/>
      <w:r w:rsidRPr="00D862B1">
        <w:rPr>
          <w:rFonts w:cstheme="minorBidi"/>
          <w:i/>
          <w:color w:val="auto"/>
        </w:rPr>
        <w:t xml:space="preserve"> Asbestos Removal is committed to ensuring the safety of our workers and customers, as well a</w:t>
      </w:r>
      <w:r w:rsidR="00BD11CC" w:rsidRPr="00D862B1">
        <w:rPr>
          <w:rFonts w:cstheme="minorBidi"/>
          <w:i/>
          <w:color w:val="auto"/>
        </w:rPr>
        <w:t xml:space="preserve">s that of Visitors </w:t>
      </w:r>
      <w:r w:rsidRPr="00D862B1">
        <w:rPr>
          <w:rFonts w:cstheme="minorBidi"/>
          <w:i/>
          <w:color w:val="auto"/>
        </w:rPr>
        <w:t>and Contractors on the company’s site.  We recognise the positive impact that the values and benefits of enhanced hea</w:t>
      </w:r>
      <w:r w:rsidR="00BD11CC" w:rsidRPr="00D862B1">
        <w:rPr>
          <w:rFonts w:cstheme="minorBidi"/>
          <w:i/>
          <w:color w:val="auto"/>
        </w:rPr>
        <w:t>lth and safety bring our workers</w:t>
      </w:r>
      <w:r w:rsidRPr="00D862B1">
        <w:rPr>
          <w:rFonts w:cstheme="minorBidi"/>
          <w:i/>
          <w:color w:val="auto"/>
        </w:rPr>
        <w:t xml:space="preserve">. </w:t>
      </w:r>
    </w:p>
    <w:p w:rsidR="00061FC2" w:rsidRPr="00D862B1" w:rsidRDefault="00061FC2" w:rsidP="00061FC2">
      <w:pPr>
        <w:pStyle w:val="Default"/>
        <w:rPr>
          <w:rFonts w:cstheme="minorBidi"/>
          <w:i/>
          <w:color w:val="auto"/>
        </w:rPr>
      </w:pPr>
    </w:p>
    <w:p w:rsidR="00061FC2" w:rsidRPr="00D862B1" w:rsidRDefault="00061FC2" w:rsidP="00061FC2">
      <w:pPr>
        <w:pStyle w:val="Default"/>
        <w:rPr>
          <w:rFonts w:cstheme="minorBidi"/>
          <w:i/>
          <w:color w:val="auto"/>
        </w:rPr>
      </w:pPr>
      <w:r w:rsidRPr="00D862B1">
        <w:rPr>
          <w:rFonts w:cstheme="minorBidi"/>
          <w:i/>
          <w:color w:val="auto"/>
        </w:rPr>
        <w:t>Health and safety is everyone’s business, and everyone is expected to share in our commitment to avoid all accidents and incidents, which may cause personal injury, property damage or loss of any kind.  Furthermore workers are encouraged to be involved in decisions concerning; changes to facilities, work procedures, or any other area that may affect the health and safety of workers</w:t>
      </w:r>
    </w:p>
    <w:p w:rsidR="00061FC2" w:rsidRPr="00D862B1" w:rsidRDefault="00061FC2" w:rsidP="00061FC2">
      <w:pPr>
        <w:pStyle w:val="Default"/>
        <w:rPr>
          <w:rFonts w:cstheme="minorBidi"/>
          <w:i/>
          <w:color w:val="auto"/>
        </w:rPr>
      </w:pPr>
    </w:p>
    <w:p w:rsidR="00061FC2" w:rsidRPr="00D862B1" w:rsidRDefault="00061FC2" w:rsidP="00061FC2">
      <w:pPr>
        <w:pStyle w:val="Default"/>
        <w:rPr>
          <w:rFonts w:cstheme="minorBidi"/>
          <w:i/>
          <w:color w:val="auto"/>
        </w:rPr>
      </w:pPr>
      <w:r w:rsidRPr="00D862B1">
        <w:rPr>
          <w:rFonts w:cstheme="minorBidi"/>
          <w:i/>
          <w:color w:val="auto"/>
        </w:rPr>
        <w:t xml:space="preserve">Anthony </w:t>
      </w:r>
      <w:proofErr w:type="spellStart"/>
      <w:r w:rsidRPr="00D862B1">
        <w:rPr>
          <w:rFonts w:cstheme="minorBidi"/>
          <w:i/>
          <w:color w:val="auto"/>
        </w:rPr>
        <w:t>Matley</w:t>
      </w:r>
      <w:proofErr w:type="spellEnd"/>
      <w:r w:rsidRPr="00D862B1">
        <w:rPr>
          <w:rFonts w:cstheme="minorBidi"/>
          <w:i/>
          <w:color w:val="auto"/>
        </w:rPr>
        <w:t xml:space="preserve"> Asbestos Removal is committed to actively managing worker accident claim and rehabilitation processes if they are injured while at work, including supporting the safe and early return to work of injured workers.</w:t>
      </w:r>
    </w:p>
    <w:p w:rsidR="00061FC2" w:rsidRPr="00D862B1" w:rsidRDefault="00061FC2" w:rsidP="00061FC2">
      <w:pPr>
        <w:pStyle w:val="Default"/>
        <w:rPr>
          <w:rFonts w:cstheme="minorBidi"/>
          <w:i/>
          <w:color w:val="auto"/>
        </w:rPr>
      </w:pPr>
    </w:p>
    <w:p w:rsidR="00061FC2" w:rsidRPr="00D862B1" w:rsidRDefault="00061FC2" w:rsidP="00061FC2">
      <w:pPr>
        <w:pStyle w:val="Default"/>
        <w:rPr>
          <w:rFonts w:cstheme="minorBidi"/>
          <w:i/>
          <w:color w:val="auto"/>
        </w:rPr>
      </w:pPr>
      <w:r w:rsidRPr="00D862B1">
        <w:rPr>
          <w:rFonts w:cstheme="minorBidi"/>
          <w:i/>
          <w:color w:val="auto"/>
        </w:rPr>
        <w:t xml:space="preserve">We will provide and maintain a safe working environment and actively assess workplace risks and manage workplace hazards. All reasonably practicable steps will be taken to prevent harm occurring to workers and other people at our workplace and their health, safety and welfare will be actively promoted by: </w:t>
      </w:r>
    </w:p>
    <w:p w:rsidR="00061FC2" w:rsidRPr="00D862B1" w:rsidRDefault="00061FC2" w:rsidP="00061FC2">
      <w:pPr>
        <w:pStyle w:val="Default"/>
        <w:rPr>
          <w:rFonts w:cstheme="minorBidi"/>
          <w:i/>
          <w:color w:val="auto"/>
        </w:rPr>
      </w:pPr>
    </w:p>
    <w:p w:rsidR="00061FC2" w:rsidRPr="00D862B1" w:rsidRDefault="00061FC2" w:rsidP="00061FC2">
      <w:pPr>
        <w:pStyle w:val="Default"/>
        <w:numPr>
          <w:ilvl w:val="0"/>
          <w:numId w:val="1"/>
        </w:numPr>
        <w:rPr>
          <w:rFonts w:cstheme="minorBidi"/>
          <w:i/>
          <w:color w:val="auto"/>
        </w:rPr>
      </w:pPr>
      <w:r w:rsidRPr="00D862B1">
        <w:rPr>
          <w:rFonts w:cstheme="minorBidi"/>
          <w:i/>
          <w:color w:val="auto"/>
        </w:rPr>
        <w:t>Complying with all relevant health and safety legislation, standards and codes of practice</w:t>
      </w:r>
    </w:p>
    <w:p w:rsidR="00061FC2" w:rsidRPr="00D862B1" w:rsidRDefault="00061FC2" w:rsidP="00061FC2">
      <w:pPr>
        <w:pStyle w:val="Default"/>
        <w:numPr>
          <w:ilvl w:val="0"/>
          <w:numId w:val="1"/>
        </w:numPr>
        <w:rPr>
          <w:rFonts w:cstheme="minorBidi"/>
          <w:i/>
          <w:color w:val="auto"/>
        </w:rPr>
      </w:pPr>
      <w:r w:rsidRPr="00D862B1">
        <w:rPr>
          <w:rFonts w:cstheme="minorBidi"/>
          <w:i/>
          <w:color w:val="auto"/>
        </w:rPr>
        <w:t xml:space="preserve">Ensuring managers and workers understand, actively participate, </w:t>
      </w:r>
      <w:proofErr w:type="gramStart"/>
      <w:r w:rsidRPr="00D862B1">
        <w:rPr>
          <w:rFonts w:cstheme="minorBidi"/>
          <w:i/>
          <w:color w:val="auto"/>
        </w:rPr>
        <w:t>are</w:t>
      </w:r>
      <w:proofErr w:type="gramEnd"/>
      <w:r w:rsidRPr="00D862B1">
        <w:rPr>
          <w:rFonts w:cstheme="minorBidi"/>
          <w:i/>
          <w:color w:val="auto"/>
        </w:rPr>
        <w:t xml:space="preserve"> accountable and responsible for health and safety within their areas of responsibility.</w:t>
      </w:r>
    </w:p>
    <w:p w:rsidR="00061FC2" w:rsidRPr="00D862B1" w:rsidRDefault="00061FC2" w:rsidP="00061FC2">
      <w:pPr>
        <w:pStyle w:val="Default"/>
        <w:numPr>
          <w:ilvl w:val="0"/>
          <w:numId w:val="1"/>
        </w:numPr>
        <w:rPr>
          <w:rFonts w:cstheme="minorBidi"/>
          <w:i/>
          <w:color w:val="auto"/>
        </w:rPr>
      </w:pPr>
      <w:r w:rsidRPr="00D862B1">
        <w:rPr>
          <w:rFonts w:cstheme="minorBidi"/>
          <w:i/>
          <w:color w:val="auto"/>
        </w:rPr>
        <w:t>Providing training, which will help workers work in a healthy and safe manner.</w:t>
      </w:r>
    </w:p>
    <w:p w:rsidR="00061FC2" w:rsidRPr="00D862B1" w:rsidRDefault="00061FC2" w:rsidP="00061FC2">
      <w:pPr>
        <w:pStyle w:val="Default"/>
        <w:numPr>
          <w:ilvl w:val="0"/>
          <w:numId w:val="1"/>
        </w:numPr>
        <w:rPr>
          <w:rFonts w:cstheme="minorBidi"/>
          <w:i/>
          <w:color w:val="auto"/>
        </w:rPr>
      </w:pPr>
      <w:r w:rsidRPr="00D862B1">
        <w:rPr>
          <w:rFonts w:cstheme="minorBidi"/>
          <w:i/>
          <w:color w:val="auto"/>
        </w:rPr>
        <w:t>Ensuring that all contractors and visitors recognise the need to comply with the company’s health and safety practices.</w:t>
      </w:r>
    </w:p>
    <w:p w:rsidR="00061FC2" w:rsidRPr="00D862B1" w:rsidRDefault="00061FC2" w:rsidP="00061FC2">
      <w:pPr>
        <w:pStyle w:val="Default"/>
        <w:numPr>
          <w:ilvl w:val="0"/>
          <w:numId w:val="1"/>
        </w:numPr>
        <w:rPr>
          <w:rFonts w:cstheme="minorBidi"/>
          <w:i/>
          <w:color w:val="auto"/>
        </w:rPr>
      </w:pPr>
      <w:r w:rsidRPr="00D862B1">
        <w:rPr>
          <w:rFonts w:cstheme="minorBidi"/>
          <w:i/>
          <w:color w:val="auto"/>
        </w:rPr>
        <w:t>Encouraging workers to recommend practices, which enhance the health and safety standards, and to continuously improve health and safety practices.</w:t>
      </w:r>
    </w:p>
    <w:p w:rsidR="00061FC2" w:rsidRPr="00D862B1" w:rsidRDefault="00061FC2" w:rsidP="00061FC2">
      <w:pPr>
        <w:pStyle w:val="Default"/>
        <w:numPr>
          <w:ilvl w:val="0"/>
          <w:numId w:val="1"/>
        </w:numPr>
        <w:rPr>
          <w:rFonts w:cstheme="minorBidi"/>
          <w:i/>
          <w:color w:val="auto"/>
        </w:rPr>
      </w:pPr>
      <w:r w:rsidRPr="00D862B1">
        <w:rPr>
          <w:rFonts w:cstheme="minorBidi"/>
          <w:i/>
          <w:color w:val="auto"/>
        </w:rPr>
        <w:t>Supporting, through appropriate rehabilitation and return to work strategies, any         workers who are injured at work.</w:t>
      </w:r>
    </w:p>
    <w:p w:rsidR="00061FC2" w:rsidRPr="00D862B1" w:rsidRDefault="00061FC2" w:rsidP="00061FC2">
      <w:pPr>
        <w:pStyle w:val="Default"/>
        <w:rPr>
          <w:rFonts w:cstheme="minorBidi"/>
          <w:i/>
          <w:color w:val="auto"/>
        </w:rPr>
      </w:pPr>
    </w:p>
    <w:p w:rsidR="00061FC2" w:rsidRPr="00D862B1" w:rsidRDefault="00061FC2" w:rsidP="00061FC2">
      <w:pPr>
        <w:pStyle w:val="Default"/>
        <w:rPr>
          <w:rFonts w:cstheme="minorBidi"/>
          <w:i/>
          <w:color w:val="auto"/>
        </w:rPr>
      </w:pPr>
      <w:r w:rsidRPr="00D862B1">
        <w:rPr>
          <w:rFonts w:cstheme="minorBidi"/>
          <w:i/>
          <w:color w:val="auto"/>
        </w:rPr>
        <w:t>Individual workers are expected to co-operate in the objective of making this a healthy and safe workplace and therefore:</w:t>
      </w:r>
    </w:p>
    <w:p w:rsidR="00061FC2" w:rsidRPr="00D862B1" w:rsidRDefault="00061FC2" w:rsidP="00061FC2">
      <w:pPr>
        <w:pStyle w:val="Default"/>
        <w:numPr>
          <w:ilvl w:val="0"/>
          <w:numId w:val="1"/>
        </w:numPr>
        <w:rPr>
          <w:rFonts w:cstheme="minorBidi"/>
          <w:i/>
          <w:color w:val="auto"/>
        </w:rPr>
      </w:pPr>
      <w:r w:rsidRPr="00D862B1">
        <w:rPr>
          <w:rFonts w:cstheme="minorBidi"/>
          <w:i/>
          <w:color w:val="auto"/>
        </w:rPr>
        <w:t>Are required to observe and practice safe work methods, rules and instructions relating to their work.</w:t>
      </w:r>
    </w:p>
    <w:p w:rsidR="00061FC2" w:rsidRPr="00D862B1" w:rsidRDefault="00061FC2" w:rsidP="00061FC2">
      <w:pPr>
        <w:pStyle w:val="Default"/>
        <w:numPr>
          <w:ilvl w:val="0"/>
          <w:numId w:val="1"/>
        </w:numPr>
        <w:rPr>
          <w:rFonts w:cstheme="minorBidi"/>
          <w:i/>
          <w:color w:val="auto"/>
        </w:rPr>
      </w:pPr>
      <w:r w:rsidRPr="00D862B1">
        <w:rPr>
          <w:rFonts w:cstheme="minorBidi"/>
          <w:i/>
          <w:color w:val="auto"/>
        </w:rPr>
        <w:lastRenderedPageBreak/>
        <w:t>Report any unsafe work condition, equipment, accident and incident to their manager immediately.</w:t>
      </w:r>
    </w:p>
    <w:p w:rsidR="00061FC2" w:rsidRPr="00D862B1" w:rsidRDefault="00061FC2" w:rsidP="00061FC2">
      <w:pPr>
        <w:pStyle w:val="Default"/>
        <w:numPr>
          <w:ilvl w:val="0"/>
          <w:numId w:val="1"/>
        </w:numPr>
        <w:rPr>
          <w:rFonts w:cstheme="minorBidi"/>
          <w:i/>
          <w:color w:val="auto"/>
        </w:rPr>
      </w:pPr>
      <w:r w:rsidRPr="00D862B1">
        <w:rPr>
          <w:rFonts w:cstheme="minorBidi"/>
          <w:i/>
          <w:color w:val="auto"/>
        </w:rPr>
        <w:t>If it is within their abilities, to minimise, isolate and eliminate workplace hazards/risks wherever possible.</w:t>
      </w:r>
    </w:p>
    <w:p w:rsidR="00061FC2" w:rsidRPr="00D862B1" w:rsidRDefault="00061FC2" w:rsidP="00061FC2">
      <w:pPr>
        <w:pStyle w:val="Default"/>
        <w:numPr>
          <w:ilvl w:val="0"/>
          <w:numId w:val="1"/>
        </w:numPr>
        <w:rPr>
          <w:rFonts w:cstheme="minorBidi"/>
          <w:i/>
          <w:color w:val="auto"/>
        </w:rPr>
      </w:pPr>
      <w:r w:rsidRPr="00D862B1">
        <w:rPr>
          <w:rFonts w:cstheme="minorBidi"/>
          <w:i/>
          <w:color w:val="auto"/>
        </w:rPr>
        <w:t>Wear the relevant personal protective equipment required for their place of work.</w:t>
      </w:r>
    </w:p>
    <w:p w:rsidR="00061FC2" w:rsidRPr="00D862B1" w:rsidRDefault="00061FC2" w:rsidP="00061FC2">
      <w:pPr>
        <w:pStyle w:val="Default"/>
        <w:numPr>
          <w:ilvl w:val="0"/>
          <w:numId w:val="1"/>
        </w:numPr>
        <w:rPr>
          <w:rFonts w:cstheme="minorBidi"/>
          <w:i/>
          <w:color w:val="auto"/>
        </w:rPr>
      </w:pPr>
      <w:r w:rsidRPr="00D862B1">
        <w:rPr>
          <w:rFonts w:cstheme="minorBidi"/>
          <w:i/>
          <w:color w:val="auto"/>
        </w:rPr>
        <w:t>Ensure that no action or inaction by them will cause any harm or injury to any other person.</w:t>
      </w:r>
    </w:p>
    <w:p w:rsidR="00061FC2" w:rsidRPr="00D862B1" w:rsidRDefault="00061FC2" w:rsidP="00061FC2">
      <w:pPr>
        <w:pStyle w:val="Default"/>
        <w:numPr>
          <w:ilvl w:val="0"/>
          <w:numId w:val="1"/>
        </w:numPr>
        <w:rPr>
          <w:rFonts w:cstheme="minorBidi"/>
          <w:i/>
          <w:color w:val="auto"/>
        </w:rPr>
      </w:pPr>
      <w:r w:rsidRPr="00D862B1">
        <w:rPr>
          <w:rFonts w:cstheme="minorBidi"/>
          <w:i/>
          <w:color w:val="auto"/>
        </w:rPr>
        <w:t>Are encouraged to participate in the continuous improvement of the company’s health and safety practices.</w:t>
      </w:r>
    </w:p>
    <w:p w:rsidR="00A374EE" w:rsidRDefault="00A374EE" w:rsidP="00061FC2">
      <w:pPr>
        <w:pStyle w:val="Default"/>
        <w:rPr>
          <w:rFonts w:cstheme="minorBidi"/>
          <w:i/>
          <w:color w:val="auto"/>
        </w:rPr>
      </w:pPr>
    </w:p>
    <w:p w:rsidR="00061FC2" w:rsidRDefault="00A374EE" w:rsidP="00061FC2">
      <w:pPr>
        <w:pStyle w:val="Default"/>
        <w:rPr>
          <w:rFonts w:cstheme="minorBidi"/>
          <w:i/>
          <w:color w:val="auto"/>
        </w:rPr>
      </w:pPr>
      <w:r>
        <w:rPr>
          <w:rFonts w:cstheme="minorBidi"/>
          <w:i/>
          <w:color w:val="auto"/>
        </w:rPr>
        <w:t xml:space="preserve">AWM </w:t>
      </w:r>
      <w:proofErr w:type="spellStart"/>
      <w:r>
        <w:rPr>
          <w:rFonts w:cstheme="minorBidi"/>
          <w:i/>
          <w:color w:val="auto"/>
        </w:rPr>
        <w:t>Matley</w:t>
      </w:r>
      <w:proofErr w:type="spellEnd"/>
      <w:r>
        <w:rPr>
          <w:rFonts w:cstheme="minorBidi"/>
          <w:i/>
          <w:color w:val="auto"/>
        </w:rPr>
        <w:t xml:space="preserve"> Asbestos Removal Health &amp; Safety Policy on the procedures for the management of H&amp;S records are as follows</w:t>
      </w:r>
    </w:p>
    <w:p w:rsidR="00A374EE" w:rsidRDefault="00A374EE" w:rsidP="00A374EE">
      <w:pPr>
        <w:pStyle w:val="Default"/>
        <w:numPr>
          <w:ilvl w:val="0"/>
          <w:numId w:val="1"/>
        </w:numPr>
        <w:rPr>
          <w:rFonts w:cstheme="minorBidi"/>
          <w:i/>
          <w:color w:val="auto"/>
        </w:rPr>
      </w:pPr>
      <w:r>
        <w:rPr>
          <w:rFonts w:cstheme="minorBidi"/>
          <w:i/>
          <w:color w:val="auto"/>
        </w:rPr>
        <w:t xml:space="preserve">The company will have a duty to keep any asbestos </w:t>
      </w:r>
      <w:proofErr w:type="spellStart"/>
      <w:r>
        <w:rPr>
          <w:rFonts w:cstheme="minorBidi"/>
          <w:i/>
          <w:color w:val="auto"/>
        </w:rPr>
        <w:t>removalists</w:t>
      </w:r>
      <w:proofErr w:type="spellEnd"/>
      <w:r>
        <w:rPr>
          <w:rFonts w:cstheme="minorBidi"/>
          <w:i/>
          <w:color w:val="auto"/>
        </w:rPr>
        <w:t xml:space="preserve"> workers and supervisors training records up to date and have them available for inspection these must be kept 5 years after the day the contractor or worker has finished.</w:t>
      </w:r>
    </w:p>
    <w:p w:rsidR="00A374EE" w:rsidRDefault="00A374EE" w:rsidP="00A374EE">
      <w:pPr>
        <w:pStyle w:val="Default"/>
        <w:numPr>
          <w:ilvl w:val="0"/>
          <w:numId w:val="1"/>
        </w:numPr>
        <w:rPr>
          <w:rFonts w:cstheme="minorBidi"/>
          <w:i/>
          <w:color w:val="auto"/>
        </w:rPr>
      </w:pPr>
      <w:r>
        <w:rPr>
          <w:rFonts w:cstheme="minorBidi"/>
          <w:i/>
          <w:color w:val="auto"/>
        </w:rPr>
        <w:t>The asbestos removal control plan along with the notification must be kept and be available for at least 5 years. Along with clearance certificates.</w:t>
      </w:r>
    </w:p>
    <w:p w:rsidR="00A374EE" w:rsidRDefault="00A374EE" w:rsidP="00A374EE">
      <w:pPr>
        <w:pStyle w:val="Default"/>
        <w:numPr>
          <w:ilvl w:val="0"/>
          <w:numId w:val="1"/>
        </w:numPr>
        <w:rPr>
          <w:rFonts w:cstheme="minorBidi"/>
          <w:i/>
          <w:color w:val="auto"/>
        </w:rPr>
      </w:pPr>
      <w:r>
        <w:rPr>
          <w:rFonts w:cstheme="minorBidi"/>
          <w:i/>
          <w:color w:val="auto"/>
        </w:rPr>
        <w:t>It must be readily accessible to a PCBU at the workplace.</w:t>
      </w:r>
    </w:p>
    <w:p w:rsidR="00A374EE" w:rsidRPr="00D862B1" w:rsidRDefault="00A374EE" w:rsidP="00A374EE">
      <w:pPr>
        <w:pStyle w:val="Default"/>
        <w:numPr>
          <w:ilvl w:val="0"/>
          <w:numId w:val="1"/>
        </w:numPr>
        <w:rPr>
          <w:rFonts w:cstheme="minorBidi"/>
          <w:i/>
          <w:color w:val="auto"/>
        </w:rPr>
      </w:pPr>
      <w:r>
        <w:rPr>
          <w:rFonts w:cstheme="minorBidi"/>
          <w:i/>
          <w:color w:val="auto"/>
        </w:rPr>
        <w:t xml:space="preserve">Each </w:t>
      </w:r>
      <w:proofErr w:type="spellStart"/>
      <w:proofErr w:type="gramStart"/>
      <w:r>
        <w:rPr>
          <w:rFonts w:cstheme="minorBidi"/>
          <w:i/>
          <w:color w:val="auto"/>
        </w:rPr>
        <w:t>years</w:t>
      </w:r>
      <w:proofErr w:type="spellEnd"/>
      <w:proofErr w:type="gramEnd"/>
      <w:r>
        <w:rPr>
          <w:rFonts w:cstheme="minorBidi"/>
          <w:i/>
          <w:color w:val="auto"/>
        </w:rPr>
        <w:t xml:space="preserve"> records will be categorised into 12 months these will be stored in a sealed clear plastic container and place into storage located in Swanson, Auckland.</w:t>
      </w:r>
      <w:bookmarkStart w:id="0" w:name="_GoBack"/>
      <w:bookmarkEnd w:id="0"/>
    </w:p>
    <w:p w:rsidR="00061FC2" w:rsidRPr="00D862B1" w:rsidRDefault="00061FC2" w:rsidP="00061FC2">
      <w:pPr>
        <w:pStyle w:val="Default"/>
        <w:rPr>
          <w:rFonts w:cstheme="minorBidi"/>
          <w:i/>
          <w:color w:val="auto"/>
        </w:rPr>
      </w:pPr>
    </w:p>
    <w:p w:rsidR="00061FC2" w:rsidRPr="00D862B1" w:rsidRDefault="00061FC2" w:rsidP="00061FC2">
      <w:pPr>
        <w:pStyle w:val="Default"/>
        <w:rPr>
          <w:rFonts w:cstheme="minorBidi"/>
          <w:i/>
          <w:color w:val="auto"/>
        </w:rPr>
      </w:pPr>
      <w:r w:rsidRPr="00D862B1">
        <w:rPr>
          <w:rFonts w:cstheme="minorBidi"/>
          <w:i/>
          <w:color w:val="auto"/>
        </w:rPr>
        <w:t xml:space="preserve">Antony </w:t>
      </w:r>
      <w:proofErr w:type="spellStart"/>
      <w:r w:rsidRPr="00D862B1">
        <w:rPr>
          <w:rFonts w:cstheme="minorBidi"/>
          <w:i/>
          <w:color w:val="auto"/>
        </w:rPr>
        <w:t>Matley</w:t>
      </w:r>
      <w:proofErr w:type="spellEnd"/>
      <w:r w:rsidRPr="00D862B1">
        <w:rPr>
          <w:rFonts w:cstheme="minorBidi"/>
          <w:i/>
          <w:color w:val="auto"/>
        </w:rPr>
        <w:t>: Owner ______________________       Date</w:t>
      </w:r>
      <w:proofErr w:type="gramStart"/>
      <w:r w:rsidRPr="00D862B1">
        <w:rPr>
          <w:rFonts w:cstheme="minorBidi"/>
          <w:i/>
          <w:color w:val="auto"/>
        </w:rPr>
        <w:t>:_</w:t>
      </w:r>
      <w:proofErr w:type="gramEnd"/>
      <w:r w:rsidRPr="00D862B1">
        <w:rPr>
          <w:rFonts w:cstheme="minorBidi"/>
          <w:i/>
          <w:color w:val="auto"/>
        </w:rPr>
        <w:t>__________</w:t>
      </w:r>
    </w:p>
    <w:p w:rsidR="00F725B0" w:rsidRPr="00D862B1" w:rsidRDefault="00F725B0"/>
    <w:sectPr w:rsidR="00F725B0" w:rsidRPr="00D862B1">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03B7" w:rsidRDefault="00CB03B7" w:rsidP="00CB03B7">
      <w:pPr>
        <w:spacing w:after="0" w:line="240" w:lineRule="auto"/>
      </w:pPr>
      <w:r>
        <w:separator/>
      </w:r>
    </w:p>
  </w:endnote>
  <w:endnote w:type="continuationSeparator" w:id="0">
    <w:p w:rsidR="00CB03B7" w:rsidRDefault="00CB03B7" w:rsidP="00CB03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06" w:type="dxa"/>
      <w:tblInd w:w="-601" w:type="dxa"/>
      <w:tblLayout w:type="fixed"/>
      <w:tblLook w:val="0000" w:firstRow="0" w:lastRow="0" w:firstColumn="0" w:lastColumn="0" w:noHBand="0" w:noVBand="0"/>
    </w:tblPr>
    <w:tblGrid>
      <w:gridCol w:w="3065"/>
      <w:gridCol w:w="3599"/>
      <w:gridCol w:w="3542"/>
    </w:tblGrid>
    <w:tr w:rsidR="005F0BA9" w:rsidRPr="005F0BA9" w:rsidTr="005F0BA9">
      <w:trPr>
        <w:cantSplit/>
        <w:trHeight w:val="544"/>
      </w:trPr>
      <w:tc>
        <w:tcPr>
          <w:tcW w:w="3065" w:type="dxa"/>
          <w:tcBorders>
            <w:top w:val="single" w:sz="6" w:space="0" w:color="auto"/>
            <w:left w:val="single" w:sz="6" w:space="0" w:color="auto"/>
            <w:bottom w:val="single" w:sz="6" w:space="0" w:color="auto"/>
            <w:right w:val="single" w:sz="6" w:space="0" w:color="auto"/>
          </w:tcBorders>
        </w:tcPr>
        <w:p w:rsidR="005F0BA9" w:rsidRPr="005F0BA9" w:rsidRDefault="005F0BA9" w:rsidP="005F0BA9">
          <w:pPr>
            <w:tabs>
              <w:tab w:val="left" w:pos="1702"/>
            </w:tabs>
            <w:spacing w:after="0" w:line="240" w:lineRule="atLeast"/>
            <w:rPr>
              <w:rFonts w:ascii="Arial" w:eastAsia="Times New Roman" w:hAnsi="Arial" w:cs="Times New Roman"/>
              <w:sz w:val="18"/>
              <w:szCs w:val="20"/>
              <w:lang w:val="en-GB"/>
            </w:rPr>
          </w:pPr>
          <w:r w:rsidRPr="005F0BA9">
            <w:rPr>
              <w:rFonts w:ascii="Arial" w:eastAsia="Times New Roman" w:hAnsi="Arial" w:cs="Times New Roman"/>
              <w:sz w:val="18"/>
              <w:szCs w:val="20"/>
              <w:lang w:val="en-GB"/>
            </w:rPr>
            <w:t>Prepar</w:t>
          </w:r>
          <w:r>
            <w:rPr>
              <w:rFonts w:ascii="Arial" w:eastAsia="Times New Roman" w:hAnsi="Arial" w:cs="Times New Roman"/>
              <w:sz w:val="18"/>
              <w:szCs w:val="20"/>
              <w:lang w:val="en-GB"/>
            </w:rPr>
            <w:t>e</w:t>
          </w:r>
          <w:r w:rsidRPr="005F0BA9">
            <w:rPr>
              <w:rFonts w:ascii="Arial" w:eastAsia="Times New Roman" w:hAnsi="Arial" w:cs="Times New Roman"/>
              <w:sz w:val="18"/>
              <w:szCs w:val="20"/>
              <w:lang w:val="en-GB"/>
            </w:rPr>
            <w:t>d By:</w:t>
          </w:r>
        </w:p>
        <w:p w:rsidR="005F0BA9" w:rsidRPr="005F0BA9" w:rsidRDefault="005F0BA9" w:rsidP="005F0BA9">
          <w:pPr>
            <w:tabs>
              <w:tab w:val="left" w:pos="1702"/>
            </w:tabs>
            <w:spacing w:after="0" w:line="240" w:lineRule="atLeast"/>
            <w:rPr>
              <w:rFonts w:ascii="Arial" w:eastAsia="Times New Roman" w:hAnsi="Arial" w:cs="Times New Roman"/>
              <w:sz w:val="18"/>
              <w:szCs w:val="20"/>
              <w:lang w:val="en-GB"/>
            </w:rPr>
          </w:pPr>
          <w:r w:rsidRPr="005F0BA9">
            <w:rPr>
              <w:rFonts w:ascii="Arial" w:eastAsia="Times New Roman" w:hAnsi="Arial" w:cs="Times New Roman"/>
              <w:sz w:val="18"/>
              <w:szCs w:val="20"/>
              <w:lang w:val="en-GB"/>
            </w:rPr>
            <w:t>Portia Matley-Field</w:t>
          </w:r>
        </w:p>
        <w:p w:rsidR="005F0BA9" w:rsidRPr="005F0BA9" w:rsidRDefault="005F0BA9" w:rsidP="005F0BA9">
          <w:pPr>
            <w:tabs>
              <w:tab w:val="left" w:pos="1702"/>
            </w:tabs>
            <w:spacing w:after="0" w:line="240" w:lineRule="atLeast"/>
            <w:rPr>
              <w:rFonts w:ascii="Arial" w:eastAsia="Times New Roman" w:hAnsi="Arial" w:cs="Times New Roman"/>
              <w:sz w:val="18"/>
              <w:szCs w:val="20"/>
              <w:lang w:val="en-GB"/>
            </w:rPr>
          </w:pPr>
          <w:r w:rsidRPr="005F0BA9">
            <w:rPr>
              <w:rFonts w:ascii="Arial" w:eastAsia="Times New Roman" w:hAnsi="Arial" w:cs="Times New Roman"/>
              <w:sz w:val="18"/>
              <w:szCs w:val="20"/>
              <w:lang w:val="en-GB"/>
            </w:rPr>
            <w:t xml:space="preserve">WHS Coordinator </w:t>
          </w:r>
        </w:p>
      </w:tc>
      <w:tc>
        <w:tcPr>
          <w:tcW w:w="3599" w:type="dxa"/>
          <w:tcBorders>
            <w:top w:val="single" w:sz="6" w:space="0" w:color="auto"/>
            <w:left w:val="single" w:sz="6" w:space="0" w:color="auto"/>
            <w:bottom w:val="single" w:sz="6" w:space="0" w:color="auto"/>
            <w:right w:val="single" w:sz="6" w:space="0" w:color="auto"/>
          </w:tcBorders>
        </w:tcPr>
        <w:p w:rsidR="005F0BA9" w:rsidRPr="005F0BA9" w:rsidRDefault="005F0BA9" w:rsidP="005F0BA9">
          <w:pPr>
            <w:tabs>
              <w:tab w:val="left" w:pos="1702"/>
            </w:tabs>
            <w:spacing w:after="0" w:line="240" w:lineRule="atLeast"/>
            <w:rPr>
              <w:rFonts w:ascii="Arial" w:eastAsia="Times New Roman" w:hAnsi="Arial" w:cs="Times New Roman"/>
              <w:sz w:val="18"/>
              <w:szCs w:val="20"/>
              <w:lang w:val="en-GB"/>
            </w:rPr>
          </w:pPr>
          <w:r w:rsidRPr="005F0BA9">
            <w:rPr>
              <w:rFonts w:ascii="Arial" w:eastAsia="Times New Roman" w:hAnsi="Arial" w:cs="Times New Roman"/>
              <w:sz w:val="18"/>
              <w:szCs w:val="20"/>
              <w:lang w:val="en-GB"/>
            </w:rPr>
            <w:t>Reviewed By:</w:t>
          </w:r>
        </w:p>
        <w:p w:rsidR="005F0BA9" w:rsidRPr="005F0BA9" w:rsidRDefault="005F0BA9" w:rsidP="005F0BA9">
          <w:pPr>
            <w:tabs>
              <w:tab w:val="left" w:pos="1702"/>
            </w:tabs>
            <w:spacing w:after="0" w:line="240" w:lineRule="atLeast"/>
            <w:rPr>
              <w:rFonts w:ascii="Arial" w:eastAsia="Times New Roman" w:hAnsi="Arial" w:cs="Times New Roman"/>
              <w:sz w:val="18"/>
              <w:szCs w:val="20"/>
              <w:lang w:val="en-GB"/>
            </w:rPr>
          </w:pPr>
          <w:r w:rsidRPr="005F0BA9">
            <w:rPr>
              <w:rFonts w:ascii="Arial" w:eastAsia="Times New Roman" w:hAnsi="Arial" w:cs="Times New Roman"/>
              <w:sz w:val="18"/>
              <w:szCs w:val="20"/>
              <w:lang w:val="en-GB"/>
            </w:rPr>
            <w:t xml:space="preserve">Anthony </w:t>
          </w:r>
          <w:proofErr w:type="spellStart"/>
          <w:r w:rsidRPr="005F0BA9">
            <w:rPr>
              <w:rFonts w:ascii="Arial" w:eastAsia="Times New Roman" w:hAnsi="Arial" w:cs="Times New Roman"/>
              <w:sz w:val="18"/>
              <w:szCs w:val="20"/>
              <w:lang w:val="en-GB"/>
            </w:rPr>
            <w:t>Matley</w:t>
          </w:r>
          <w:proofErr w:type="spellEnd"/>
          <w:r w:rsidRPr="005F0BA9">
            <w:rPr>
              <w:rFonts w:ascii="Arial" w:eastAsia="Times New Roman" w:hAnsi="Arial" w:cs="Times New Roman"/>
              <w:sz w:val="18"/>
              <w:szCs w:val="20"/>
              <w:lang w:val="en-GB"/>
            </w:rPr>
            <w:t xml:space="preserve"> </w:t>
          </w:r>
        </w:p>
        <w:p w:rsidR="005F0BA9" w:rsidRPr="005F0BA9" w:rsidRDefault="005F0BA9" w:rsidP="005F0BA9">
          <w:pPr>
            <w:tabs>
              <w:tab w:val="left" w:pos="1702"/>
            </w:tabs>
            <w:spacing w:after="0" w:line="240" w:lineRule="atLeast"/>
            <w:rPr>
              <w:rFonts w:ascii="Arial" w:eastAsia="Times New Roman" w:hAnsi="Arial" w:cs="Times New Roman"/>
              <w:sz w:val="18"/>
              <w:szCs w:val="20"/>
              <w:lang w:val="en-GB"/>
            </w:rPr>
          </w:pPr>
          <w:r w:rsidRPr="005F0BA9">
            <w:rPr>
              <w:rFonts w:ascii="Arial" w:eastAsia="Times New Roman" w:hAnsi="Arial" w:cs="Times New Roman"/>
              <w:sz w:val="18"/>
              <w:szCs w:val="20"/>
              <w:lang w:val="en-GB"/>
            </w:rPr>
            <w:t xml:space="preserve">Owner/Manager </w:t>
          </w:r>
        </w:p>
      </w:tc>
      <w:tc>
        <w:tcPr>
          <w:tcW w:w="3542" w:type="dxa"/>
          <w:tcBorders>
            <w:top w:val="single" w:sz="6" w:space="0" w:color="auto"/>
            <w:left w:val="single" w:sz="6" w:space="0" w:color="auto"/>
            <w:bottom w:val="single" w:sz="6" w:space="0" w:color="auto"/>
            <w:right w:val="single" w:sz="6" w:space="0" w:color="auto"/>
          </w:tcBorders>
        </w:tcPr>
        <w:p w:rsidR="005F0BA9" w:rsidRPr="005F0BA9" w:rsidRDefault="005F0BA9" w:rsidP="005F0BA9">
          <w:pPr>
            <w:tabs>
              <w:tab w:val="left" w:pos="1702"/>
            </w:tabs>
            <w:spacing w:after="0" w:line="240" w:lineRule="atLeast"/>
            <w:rPr>
              <w:rFonts w:ascii="Arial" w:eastAsia="Times New Roman" w:hAnsi="Arial" w:cs="Times New Roman"/>
              <w:sz w:val="18"/>
              <w:szCs w:val="20"/>
              <w:lang w:val="en-GB"/>
            </w:rPr>
          </w:pPr>
        </w:p>
      </w:tc>
    </w:tr>
  </w:tbl>
  <w:p w:rsidR="005F0BA9" w:rsidRDefault="005F0B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03B7" w:rsidRDefault="00CB03B7" w:rsidP="00CB03B7">
      <w:pPr>
        <w:spacing w:after="0" w:line="240" w:lineRule="auto"/>
      </w:pPr>
      <w:r>
        <w:separator/>
      </w:r>
    </w:p>
  </w:footnote>
  <w:footnote w:type="continuationSeparator" w:id="0">
    <w:p w:rsidR="00CB03B7" w:rsidRDefault="00CB03B7" w:rsidP="00CB03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BA9" w:rsidRDefault="00CB03B7" w:rsidP="00CB03B7">
    <w:pPr>
      <w:pStyle w:val="Header"/>
      <w:jc w:val="center"/>
    </w:pPr>
    <w:r>
      <w:rPr>
        <w:noProof/>
        <w:lang w:eastAsia="en-NZ"/>
      </w:rPr>
      <w:drawing>
        <wp:inline distT="0" distB="0" distL="0" distR="0" wp14:anchorId="7E36E13E">
          <wp:extent cx="1424940" cy="730967"/>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4832" cy="736042"/>
                  </a:xfrm>
                  <a:prstGeom prst="rect">
                    <a:avLst/>
                  </a:prstGeom>
                  <a:noFill/>
                </pic:spPr>
              </pic:pic>
            </a:graphicData>
          </a:graphic>
        </wp:inline>
      </w:drawing>
    </w:r>
  </w:p>
  <w:tbl>
    <w:tblPr>
      <w:tblW w:w="10265" w:type="dxa"/>
      <w:tblInd w:w="-631" w:type="dxa"/>
      <w:tblLayout w:type="fixed"/>
      <w:tblLook w:val="0000" w:firstRow="0" w:lastRow="0" w:firstColumn="0" w:lastColumn="0" w:noHBand="0" w:noVBand="0"/>
    </w:tblPr>
    <w:tblGrid>
      <w:gridCol w:w="5103"/>
      <w:gridCol w:w="1701"/>
      <w:gridCol w:w="1701"/>
      <w:gridCol w:w="1760"/>
    </w:tblGrid>
    <w:tr w:rsidR="005F0BA9" w:rsidRPr="005F0BA9" w:rsidTr="005F0BA9">
      <w:trPr>
        <w:cantSplit/>
        <w:trHeight w:val="642"/>
      </w:trPr>
      <w:tc>
        <w:tcPr>
          <w:tcW w:w="5103" w:type="dxa"/>
          <w:tcBorders>
            <w:top w:val="single" w:sz="6" w:space="0" w:color="auto"/>
            <w:left w:val="single" w:sz="6" w:space="0" w:color="auto"/>
            <w:bottom w:val="single" w:sz="6" w:space="0" w:color="auto"/>
            <w:right w:val="single" w:sz="6" w:space="0" w:color="auto"/>
          </w:tcBorders>
        </w:tcPr>
        <w:p w:rsidR="005F0BA9" w:rsidRPr="005F0BA9" w:rsidRDefault="005F0BA9" w:rsidP="005F0BA9">
          <w:pPr>
            <w:spacing w:after="0" w:line="240" w:lineRule="atLeast"/>
            <w:rPr>
              <w:rFonts w:ascii="Arial" w:eastAsia="Times New Roman" w:hAnsi="Arial" w:cs="Times New Roman"/>
              <w:sz w:val="18"/>
              <w:szCs w:val="20"/>
              <w:lang w:val="en-GB"/>
            </w:rPr>
          </w:pPr>
          <w:r w:rsidRPr="005F0BA9">
            <w:rPr>
              <w:rFonts w:ascii="Arial" w:eastAsia="Times New Roman" w:hAnsi="Arial" w:cs="Times New Roman"/>
              <w:sz w:val="18"/>
              <w:szCs w:val="20"/>
              <w:lang w:val="en-GB"/>
            </w:rPr>
            <w:t>DEPARTMENT</w:t>
          </w:r>
        </w:p>
        <w:p w:rsidR="005F0BA9" w:rsidRPr="005F0BA9" w:rsidRDefault="005F0BA9" w:rsidP="005F0BA9">
          <w:pPr>
            <w:tabs>
              <w:tab w:val="left" w:pos="426"/>
            </w:tabs>
            <w:spacing w:before="20" w:after="40" w:line="240" w:lineRule="atLeast"/>
            <w:rPr>
              <w:rFonts w:ascii="Arial" w:eastAsia="Times New Roman" w:hAnsi="Arial" w:cs="Times New Roman"/>
              <w:sz w:val="18"/>
              <w:szCs w:val="20"/>
              <w:lang w:val="en-GB"/>
            </w:rPr>
          </w:pPr>
          <w:r w:rsidRPr="005F0BA9">
            <w:rPr>
              <w:rFonts w:ascii="Arial" w:eastAsia="Times New Roman" w:hAnsi="Arial" w:cs="Times New Roman"/>
              <w:b/>
              <w:sz w:val="18"/>
              <w:szCs w:val="20"/>
              <w:lang w:val="en-GB"/>
            </w:rPr>
            <w:tab/>
            <w:t xml:space="preserve">HEALTH </w:t>
          </w:r>
          <w:smartTag w:uri="urn:schemas-microsoft-com:office:smarttags" w:element="stockticker">
            <w:r w:rsidRPr="005F0BA9">
              <w:rPr>
                <w:rFonts w:ascii="Arial" w:eastAsia="Times New Roman" w:hAnsi="Arial" w:cs="Times New Roman"/>
                <w:b/>
                <w:sz w:val="18"/>
                <w:szCs w:val="20"/>
                <w:lang w:val="en-GB"/>
              </w:rPr>
              <w:t>AND</w:t>
            </w:r>
          </w:smartTag>
          <w:r w:rsidRPr="005F0BA9">
            <w:rPr>
              <w:rFonts w:ascii="Arial" w:eastAsia="Times New Roman" w:hAnsi="Arial" w:cs="Times New Roman"/>
              <w:b/>
              <w:sz w:val="18"/>
              <w:szCs w:val="20"/>
              <w:lang w:val="en-GB"/>
            </w:rPr>
            <w:t xml:space="preserve"> SAFETY</w:t>
          </w:r>
        </w:p>
      </w:tc>
      <w:tc>
        <w:tcPr>
          <w:tcW w:w="1701" w:type="dxa"/>
          <w:tcBorders>
            <w:top w:val="single" w:sz="6" w:space="0" w:color="auto"/>
            <w:left w:val="single" w:sz="6" w:space="0" w:color="auto"/>
            <w:bottom w:val="single" w:sz="6" w:space="0" w:color="auto"/>
            <w:right w:val="single" w:sz="6" w:space="0" w:color="auto"/>
          </w:tcBorders>
        </w:tcPr>
        <w:p w:rsidR="005F0BA9" w:rsidRDefault="005F0BA9" w:rsidP="005F0BA9">
          <w:pPr>
            <w:tabs>
              <w:tab w:val="center" w:pos="5387"/>
              <w:tab w:val="right" w:pos="10774"/>
            </w:tabs>
            <w:spacing w:before="20" w:after="40" w:line="240" w:lineRule="atLeast"/>
            <w:rPr>
              <w:rFonts w:ascii="Arial" w:eastAsia="Times New Roman" w:hAnsi="Arial" w:cs="Times New Roman"/>
              <w:sz w:val="18"/>
              <w:szCs w:val="20"/>
              <w:lang w:val="en-GB"/>
            </w:rPr>
          </w:pPr>
          <w:r w:rsidRPr="005F0BA9">
            <w:rPr>
              <w:rFonts w:ascii="Arial" w:eastAsia="Times New Roman" w:hAnsi="Arial" w:cs="Times New Roman"/>
              <w:sz w:val="18"/>
              <w:szCs w:val="20"/>
              <w:lang w:val="en-GB"/>
            </w:rPr>
            <w:t>NUMBER</w:t>
          </w:r>
        </w:p>
        <w:p w:rsidR="005F0BA9" w:rsidRPr="005F0BA9" w:rsidRDefault="005F0BA9" w:rsidP="005F0BA9">
          <w:pPr>
            <w:tabs>
              <w:tab w:val="center" w:pos="5387"/>
              <w:tab w:val="right" w:pos="10774"/>
            </w:tabs>
            <w:spacing w:before="20" w:after="40" w:line="240" w:lineRule="atLeast"/>
            <w:rPr>
              <w:rFonts w:ascii="Arial" w:eastAsia="Times New Roman" w:hAnsi="Arial" w:cs="Times New Roman"/>
              <w:sz w:val="18"/>
              <w:szCs w:val="20"/>
              <w:lang w:val="en-GB"/>
            </w:rPr>
          </w:pPr>
          <w:r>
            <w:rPr>
              <w:rFonts w:ascii="Arial" w:eastAsia="Times New Roman" w:hAnsi="Arial" w:cs="Times New Roman"/>
              <w:sz w:val="18"/>
              <w:szCs w:val="20"/>
              <w:lang w:val="en-GB"/>
            </w:rPr>
            <w:t>SOP-HS-001</w:t>
          </w:r>
        </w:p>
      </w:tc>
      <w:tc>
        <w:tcPr>
          <w:tcW w:w="1701" w:type="dxa"/>
          <w:tcBorders>
            <w:top w:val="single" w:sz="6" w:space="0" w:color="auto"/>
            <w:left w:val="single" w:sz="6" w:space="0" w:color="auto"/>
            <w:bottom w:val="single" w:sz="6" w:space="0" w:color="auto"/>
            <w:right w:val="single" w:sz="6" w:space="0" w:color="auto"/>
          </w:tcBorders>
        </w:tcPr>
        <w:p w:rsidR="005F0BA9" w:rsidRPr="005F0BA9" w:rsidRDefault="005F0BA9" w:rsidP="005F0BA9">
          <w:pPr>
            <w:tabs>
              <w:tab w:val="center" w:pos="5387"/>
              <w:tab w:val="right" w:pos="10774"/>
            </w:tabs>
            <w:spacing w:before="20" w:after="40" w:line="240" w:lineRule="atLeast"/>
            <w:rPr>
              <w:rFonts w:ascii="Arial" w:eastAsia="Times New Roman" w:hAnsi="Arial" w:cs="Times New Roman"/>
              <w:sz w:val="18"/>
              <w:szCs w:val="20"/>
              <w:lang w:val="en-GB"/>
            </w:rPr>
          </w:pPr>
          <w:r w:rsidRPr="005F0BA9">
            <w:rPr>
              <w:rFonts w:ascii="Arial" w:eastAsia="Times New Roman" w:hAnsi="Arial" w:cs="Times New Roman"/>
              <w:sz w:val="18"/>
              <w:szCs w:val="20"/>
              <w:lang w:val="en-GB"/>
            </w:rPr>
            <w:t>VERSION NO</w:t>
          </w:r>
        </w:p>
        <w:p w:rsidR="005F0BA9" w:rsidRPr="005F0BA9" w:rsidRDefault="005F0BA9" w:rsidP="005F0BA9">
          <w:pPr>
            <w:tabs>
              <w:tab w:val="center" w:pos="5387"/>
              <w:tab w:val="right" w:pos="10774"/>
            </w:tabs>
            <w:spacing w:before="20" w:after="40" w:line="240" w:lineRule="atLeast"/>
            <w:jc w:val="center"/>
            <w:rPr>
              <w:rFonts w:ascii="Arial" w:eastAsia="Times New Roman" w:hAnsi="Arial" w:cs="Times New Roman"/>
              <w:sz w:val="18"/>
              <w:szCs w:val="20"/>
              <w:lang w:val="en-GB"/>
            </w:rPr>
          </w:pPr>
          <w:r w:rsidRPr="005F0BA9">
            <w:rPr>
              <w:rFonts w:ascii="Arial" w:eastAsia="Times New Roman" w:hAnsi="Arial" w:cs="Times New Roman"/>
              <w:b/>
              <w:sz w:val="18"/>
              <w:szCs w:val="20"/>
              <w:lang w:val="en-GB"/>
            </w:rPr>
            <w:t>00</w:t>
          </w:r>
        </w:p>
      </w:tc>
      <w:tc>
        <w:tcPr>
          <w:tcW w:w="1760" w:type="dxa"/>
          <w:tcBorders>
            <w:top w:val="single" w:sz="6" w:space="0" w:color="auto"/>
            <w:left w:val="single" w:sz="6" w:space="0" w:color="auto"/>
            <w:bottom w:val="single" w:sz="6" w:space="0" w:color="auto"/>
            <w:right w:val="single" w:sz="6" w:space="0" w:color="auto"/>
          </w:tcBorders>
        </w:tcPr>
        <w:p w:rsidR="005F0BA9" w:rsidRPr="005F0BA9" w:rsidRDefault="005F0BA9" w:rsidP="005F0BA9">
          <w:pPr>
            <w:tabs>
              <w:tab w:val="center" w:pos="5387"/>
              <w:tab w:val="right" w:pos="10774"/>
            </w:tabs>
            <w:spacing w:before="20" w:after="40" w:line="240" w:lineRule="atLeast"/>
            <w:jc w:val="center"/>
            <w:rPr>
              <w:rFonts w:ascii="Arial" w:eastAsia="Times New Roman" w:hAnsi="Arial" w:cs="Times New Roman"/>
              <w:sz w:val="18"/>
              <w:szCs w:val="20"/>
              <w:lang w:val="en-GB"/>
            </w:rPr>
          </w:pPr>
          <w:r w:rsidRPr="005F0BA9">
            <w:rPr>
              <w:rFonts w:ascii="Arial" w:eastAsia="Times New Roman" w:hAnsi="Arial" w:cs="Times New Roman"/>
              <w:sz w:val="18"/>
              <w:szCs w:val="20"/>
              <w:lang w:val="en-GB"/>
            </w:rPr>
            <w:t>ISSUE DATE</w:t>
          </w:r>
        </w:p>
        <w:p w:rsidR="005F0BA9" w:rsidRPr="005F0BA9" w:rsidRDefault="005F0BA9" w:rsidP="005F0BA9">
          <w:pPr>
            <w:tabs>
              <w:tab w:val="center" w:pos="5387"/>
              <w:tab w:val="right" w:pos="10774"/>
            </w:tabs>
            <w:spacing w:before="20" w:after="40" w:line="240" w:lineRule="atLeast"/>
            <w:jc w:val="center"/>
            <w:rPr>
              <w:rFonts w:ascii="Arial" w:eastAsia="Times New Roman" w:hAnsi="Arial" w:cs="Times New Roman"/>
              <w:sz w:val="18"/>
              <w:szCs w:val="20"/>
              <w:lang w:val="en-GB"/>
            </w:rPr>
          </w:pPr>
          <w:r w:rsidRPr="005F0BA9">
            <w:rPr>
              <w:rFonts w:ascii="Arial" w:eastAsia="Times New Roman" w:hAnsi="Arial" w:cs="Times New Roman"/>
              <w:sz w:val="18"/>
              <w:szCs w:val="20"/>
              <w:lang w:val="en-GB"/>
            </w:rPr>
            <w:t>January 2018</w:t>
          </w:r>
        </w:p>
      </w:tc>
    </w:tr>
    <w:tr w:rsidR="005F0BA9" w:rsidRPr="005F0BA9" w:rsidTr="005F0BA9">
      <w:trPr>
        <w:cantSplit/>
        <w:trHeight w:val="505"/>
      </w:trPr>
      <w:tc>
        <w:tcPr>
          <w:tcW w:w="8505" w:type="dxa"/>
          <w:gridSpan w:val="3"/>
          <w:tcBorders>
            <w:top w:val="single" w:sz="6" w:space="0" w:color="auto"/>
            <w:left w:val="single" w:sz="6" w:space="0" w:color="auto"/>
            <w:bottom w:val="single" w:sz="6" w:space="0" w:color="auto"/>
            <w:right w:val="single" w:sz="6" w:space="0" w:color="auto"/>
          </w:tcBorders>
        </w:tcPr>
        <w:p w:rsidR="005F0BA9" w:rsidRPr="005F0BA9" w:rsidRDefault="005F0BA9" w:rsidP="005F0BA9">
          <w:pPr>
            <w:tabs>
              <w:tab w:val="center" w:pos="5387"/>
              <w:tab w:val="right" w:pos="10774"/>
            </w:tabs>
            <w:spacing w:after="0" w:line="240" w:lineRule="atLeast"/>
            <w:rPr>
              <w:rFonts w:ascii="Arial" w:eastAsia="Times New Roman" w:hAnsi="Arial" w:cs="Times New Roman"/>
              <w:sz w:val="18"/>
              <w:szCs w:val="20"/>
              <w:lang w:val="en-GB"/>
            </w:rPr>
          </w:pPr>
          <w:r w:rsidRPr="005F0BA9">
            <w:rPr>
              <w:rFonts w:ascii="Arial" w:eastAsia="Times New Roman" w:hAnsi="Arial" w:cs="Times New Roman"/>
              <w:sz w:val="18"/>
              <w:szCs w:val="20"/>
              <w:lang w:val="en-GB"/>
            </w:rPr>
            <w:t>SUBJECT</w:t>
          </w:r>
        </w:p>
        <w:p w:rsidR="005F0BA9" w:rsidRPr="005F0BA9" w:rsidRDefault="005F0BA9" w:rsidP="005F0BA9">
          <w:pPr>
            <w:tabs>
              <w:tab w:val="left" w:pos="426"/>
            </w:tabs>
            <w:spacing w:after="0" w:line="240" w:lineRule="atLeast"/>
            <w:rPr>
              <w:rFonts w:ascii="Arial" w:eastAsia="Times New Roman" w:hAnsi="Arial" w:cs="Times New Roman"/>
              <w:b/>
              <w:caps/>
              <w:sz w:val="18"/>
              <w:szCs w:val="20"/>
              <w:lang w:val="en-GB"/>
            </w:rPr>
          </w:pPr>
          <w:r w:rsidRPr="005F0BA9">
            <w:rPr>
              <w:rFonts w:ascii="Arial" w:eastAsia="Times New Roman" w:hAnsi="Arial" w:cs="Times New Roman"/>
              <w:b/>
              <w:caps/>
              <w:sz w:val="18"/>
              <w:szCs w:val="20"/>
              <w:lang w:val="en-GB"/>
            </w:rPr>
            <w:tab/>
            <w:t xml:space="preserve">hEALTH AND SAFETY </w:t>
          </w:r>
          <w:r>
            <w:rPr>
              <w:rFonts w:ascii="Arial" w:eastAsia="Times New Roman" w:hAnsi="Arial" w:cs="Times New Roman"/>
              <w:b/>
              <w:caps/>
              <w:sz w:val="18"/>
              <w:szCs w:val="20"/>
              <w:lang w:val="en-GB"/>
            </w:rPr>
            <w:t>Policy</w:t>
          </w:r>
        </w:p>
      </w:tc>
      <w:tc>
        <w:tcPr>
          <w:tcW w:w="1760" w:type="dxa"/>
          <w:tcBorders>
            <w:top w:val="single" w:sz="6" w:space="0" w:color="auto"/>
            <w:left w:val="single" w:sz="6" w:space="0" w:color="auto"/>
            <w:bottom w:val="single" w:sz="6" w:space="0" w:color="auto"/>
            <w:right w:val="single" w:sz="6" w:space="0" w:color="auto"/>
          </w:tcBorders>
        </w:tcPr>
        <w:p w:rsidR="005F0BA9" w:rsidRPr="005F0BA9" w:rsidRDefault="005F0BA9" w:rsidP="005F0BA9">
          <w:pPr>
            <w:tabs>
              <w:tab w:val="left" w:pos="426"/>
            </w:tabs>
            <w:spacing w:after="0" w:line="240" w:lineRule="atLeast"/>
            <w:rPr>
              <w:rFonts w:ascii="Arial" w:eastAsia="Times New Roman" w:hAnsi="Arial" w:cs="Times New Roman"/>
              <w:sz w:val="18"/>
              <w:szCs w:val="20"/>
              <w:lang w:val="en-GB"/>
            </w:rPr>
          </w:pPr>
          <w:r w:rsidRPr="005F0BA9">
            <w:rPr>
              <w:rFonts w:ascii="Arial" w:eastAsia="Times New Roman" w:hAnsi="Arial" w:cs="Times New Roman"/>
              <w:sz w:val="16"/>
              <w:szCs w:val="20"/>
              <w:lang w:val="en-GB"/>
            </w:rPr>
            <w:t xml:space="preserve">Page </w:t>
          </w:r>
          <w:r w:rsidRPr="005F0BA9">
            <w:rPr>
              <w:rFonts w:ascii="Arial" w:eastAsia="Times New Roman" w:hAnsi="Arial" w:cs="Times New Roman"/>
              <w:sz w:val="16"/>
              <w:szCs w:val="20"/>
              <w:lang w:val="en-GB"/>
            </w:rPr>
            <w:fldChar w:fldCharType="begin"/>
          </w:r>
          <w:r w:rsidRPr="005F0BA9">
            <w:rPr>
              <w:rFonts w:ascii="Arial" w:eastAsia="Times New Roman" w:hAnsi="Arial" w:cs="Times New Roman"/>
              <w:sz w:val="16"/>
              <w:szCs w:val="20"/>
              <w:lang w:val="en-GB"/>
            </w:rPr>
            <w:instrText xml:space="preserve"> PAGE </w:instrText>
          </w:r>
          <w:r w:rsidRPr="005F0BA9">
            <w:rPr>
              <w:rFonts w:ascii="Arial" w:eastAsia="Times New Roman" w:hAnsi="Arial" w:cs="Times New Roman"/>
              <w:sz w:val="16"/>
              <w:szCs w:val="20"/>
              <w:lang w:val="en-GB"/>
            </w:rPr>
            <w:fldChar w:fldCharType="separate"/>
          </w:r>
          <w:r w:rsidR="00A374EE">
            <w:rPr>
              <w:rFonts w:ascii="Arial" w:eastAsia="Times New Roman" w:hAnsi="Arial" w:cs="Times New Roman"/>
              <w:noProof/>
              <w:sz w:val="16"/>
              <w:szCs w:val="20"/>
              <w:lang w:val="en-GB"/>
            </w:rPr>
            <w:t>2</w:t>
          </w:r>
          <w:r w:rsidRPr="005F0BA9">
            <w:rPr>
              <w:rFonts w:ascii="Arial" w:eastAsia="Times New Roman" w:hAnsi="Arial" w:cs="Times New Roman"/>
              <w:sz w:val="16"/>
              <w:szCs w:val="20"/>
              <w:lang w:val="en-GB"/>
            </w:rPr>
            <w:fldChar w:fldCharType="end"/>
          </w:r>
          <w:r w:rsidRPr="005F0BA9">
            <w:rPr>
              <w:rFonts w:ascii="Arial" w:eastAsia="Times New Roman" w:hAnsi="Arial" w:cs="Times New Roman"/>
              <w:sz w:val="16"/>
              <w:szCs w:val="20"/>
              <w:lang w:val="en-GB"/>
            </w:rPr>
            <w:t xml:space="preserve"> of </w:t>
          </w:r>
          <w:r w:rsidRPr="005F0BA9">
            <w:rPr>
              <w:rFonts w:ascii="Arial" w:eastAsia="Times New Roman" w:hAnsi="Arial" w:cs="Times New Roman"/>
              <w:sz w:val="16"/>
              <w:szCs w:val="20"/>
              <w:lang w:val="en-GB"/>
            </w:rPr>
            <w:fldChar w:fldCharType="begin"/>
          </w:r>
          <w:r w:rsidRPr="005F0BA9">
            <w:rPr>
              <w:rFonts w:ascii="Arial" w:eastAsia="Times New Roman" w:hAnsi="Arial" w:cs="Times New Roman"/>
              <w:sz w:val="16"/>
              <w:szCs w:val="20"/>
              <w:lang w:val="en-GB"/>
            </w:rPr>
            <w:instrText xml:space="preserve"> NUMPAGES </w:instrText>
          </w:r>
          <w:r w:rsidRPr="005F0BA9">
            <w:rPr>
              <w:rFonts w:ascii="Arial" w:eastAsia="Times New Roman" w:hAnsi="Arial" w:cs="Times New Roman"/>
              <w:sz w:val="16"/>
              <w:szCs w:val="20"/>
              <w:lang w:val="en-GB"/>
            </w:rPr>
            <w:fldChar w:fldCharType="separate"/>
          </w:r>
          <w:r w:rsidR="00A374EE">
            <w:rPr>
              <w:rFonts w:ascii="Arial" w:eastAsia="Times New Roman" w:hAnsi="Arial" w:cs="Times New Roman"/>
              <w:noProof/>
              <w:sz w:val="16"/>
              <w:szCs w:val="20"/>
              <w:lang w:val="en-GB"/>
            </w:rPr>
            <w:t>2</w:t>
          </w:r>
          <w:r w:rsidRPr="005F0BA9">
            <w:rPr>
              <w:rFonts w:ascii="Arial" w:eastAsia="Times New Roman" w:hAnsi="Arial" w:cs="Times New Roman"/>
              <w:sz w:val="16"/>
              <w:szCs w:val="20"/>
              <w:lang w:val="en-GB"/>
            </w:rPr>
            <w:fldChar w:fldCharType="end"/>
          </w:r>
        </w:p>
      </w:tc>
    </w:tr>
  </w:tbl>
  <w:p w:rsidR="00CB03B7" w:rsidRDefault="00CB03B7" w:rsidP="00CB03B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4C64F5"/>
    <w:multiLevelType w:val="hybridMultilevel"/>
    <w:tmpl w:val="3EBC34EE"/>
    <w:lvl w:ilvl="0" w:tplc="6F880F02">
      <w:numFmt w:val="bullet"/>
      <w:lvlText w:val=""/>
      <w:lvlJc w:val="left"/>
      <w:pPr>
        <w:ind w:left="720" w:hanging="360"/>
      </w:pPr>
      <w:rPr>
        <w:rFonts w:ascii="Symbol" w:eastAsiaTheme="minorHAnsi" w:hAnsi="Symbo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FC2"/>
    <w:rsid w:val="00061FC2"/>
    <w:rsid w:val="005F0BA9"/>
    <w:rsid w:val="00A374EE"/>
    <w:rsid w:val="00BD11CC"/>
    <w:rsid w:val="00CB03B7"/>
    <w:rsid w:val="00D862B1"/>
    <w:rsid w:val="00F725B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6145"/>
    <o:shapelayout v:ext="edit">
      <o:idmap v:ext="edit" data="1"/>
    </o:shapelayout>
  </w:shapeDefaults>
  <w:decimalSymbol w:val="."/>
  <w:listSeparator w:val=","/>
  <w14:docId w14:val="2BB920A8"/>
  <w15:chartTrackingRefBased/>
  <w15:docId w15:val="{9FC5443D-6499-42B2-839A-B122EA55F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1FC2"/>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CB03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03B7"/>
  </w:style>
  <w:style w:type="paragraph" w:styleId="Footer">
    <w:name w:val="footer"/>
    <w:basedOn w:val="Normal"/>
    <w:link w:val="FooterChar"/>
    <w:uiPriority w:val="99"/>
    <w:unhideWhenUsed/>
    <w:rsid w:val="00CB03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03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515</Words>
  <Characters>2937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Aryzta</Company>
  <LinksUpToDate>false</LinksUpToDate>
  <CharactersWithSpaces>3446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test1</dc:creator>
  <cp:keywords/>
  <dc:description/>
  <cp:lastModifiedBy>Portia Matley-Field</cp:lastModifiedBy>
  <cp:revision>6</cp:revision>
  <dcterms:created xsi:type="dcterms:W3CDTF">2017-11-23T20:16:00Z</dcterms:created>
  <dcterms:modified xsi:type="dcterms:W3CDTF">2018-02-22T23:54:00Z</dcterms:modified>
</cp:coreProperties>
</file>